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</w:t>
      </w:r>
      <w:r w:rsidR="00344205" w:rsidRPr="008A648D">
        <w:rPr>
          <w:lang w:val="ru-RU"/>
        </w:rPr>
        <w:t>_</w:t>
      </w:r>
      <w:r w:rsidRPr="00E654EF">
        <w:t xml:space="preserve"> 2023 року №</w:t>
      </w:r>
      <w:r w:rsidR="00344205" w:rsidRPr="008A648D">
        <w:rPr>
          <w:lang w:val="ru-RU"/>
        </w:rPr>
        <w:t>____</w:t>
      </w:r>
      <w:r w:rsidRPr="00E654EF">
        <w:t>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C39C2" w:rsidRDefault="008A648D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D25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Взяття на облік безхазяйного нерухомого майна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993E48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DF1FA5" w:rsidRDefault="002E3265" w:rsidP="00DF1FA5">
            <w:pPr>
              <w:pStyle w:val="a5"/>
              <w:ind w:firstLine="106"/>
              <w:jc w:val="both"/>
              <w:rPr>
                <w:color w:val="000000"/>
                <w:spacing w:val="-5"/>
                <w:lang w:val="uk-UA"/>
              </w:rPr>
            </w:pPr>
            <w:r w:rsidRPr="00DF1FA5">
              <w:rPr>
                <w:color w:val="000000"/>
                <w:lang w:val="uk-UA"/>
              </w:rPr>
              <w:t xml:space="preserve">Прийняття заяви про взяття на облік безхазяйного нерухомого майна,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 </w:t>
            </w:r>
          </w:p>
        </w:tc>
        <w:tc>
          <w:tcPr>
            <w:tcW w:w="1843" w:type="dxa"/>
          </w:tcPr>
          <w:p w:rsidR="006C39C2" w:rsidRPr="0062256F" w:rsidRDefault="001552DB" w:rsidP="00155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  <w:r w:rsidR="0017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552DB" w:rsidTr="00173BCA">
        <w:tc>
          <w:tcPr>
            <w:tcW w:w="567" w:type="dxa"/>
          </w:tcPr>
          <w:p w:rsidR="001552DB" w:rsidRPr="00993E48" w:rsidRDefault="001552D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1552DB" w:rsidRPr="00993E48" w:rsidRDefault="001552DB" w:rsidP="009E65B0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93E48">
              <w:rPr>
                <w:color w:val="000000" w:themeColor="text1"/>
                <w:spacing w:val="-5"/>
                <w:lang w:val="uk-UA"/>
              </w:rPr>
              <w:t xml:space="preserve">Виготовлення електронних копій шляхом сканування </w:t>
            </w:r>
            <w:r w:rsidR="009E65B0" w:rsidRPr="00993E48">
              <w:rPr>
                <w:color w:val="000000" w:themeColor="text1"/>
                <w:spacing w:val="-5"/>
                <w:lang w:val="uk-UA"/>
              </w:rPr>
              <w:t xml:space="preserve">поданих документів </w:t>
            </w:r>
            <w:r w:rsidRPr="00993E48">
              <w:rPr>
                <w:color w:val="000000" w:themeColor="text1"/>
                <w:spacing w:val="-5"/>
                <w:lang w:val="uk-UA"/>
              </w:rPr>
              <w:t>(у разі подання документів у паперовій формі)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514F0D" w:rsidTr="00173BCA">
        <w:tc>
          <w:tcPr>
            <w:tcW w:w="567" w:type="dxa"/>
          </w:tcPr>
          <w:p w:rsidR="00514F0D" w:rsidRPr="00993E48" w:rsidRDefault="00514F0D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514F0D" w:rsidTr="00A77841">
              <w:tblPrEx>
                <w:tblCellMar>
                  <w:top w:w="0" w:type="dxa"/>
                  <w:bottom w:w="0" w:type="dxa"/>
                </w:tblCellMar>
              </w:tblPrEx>
              <w:trPr>
                <w:trHeight w:val="1846"/>
              </w:trPr>
              <w:tc>
                <w:tcPr>
                  <w:tcW w:w="4712" w:type="dxa"/>
                </w:tcPr>
                <w:p w:rsidR="00514F0D" w:rsidRPr="00A77841" w:rsidRDefault="00514F0D" w:rsidP="00A77841">
                  <w:pPr>
                    <w:pStyle w:val="Default"/>
                    <w:ind w:left="-74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A77841">
                    <w:rPr>
                      <w:color w:val="000000" w:themeColor="text1"/>
                      <w:lang w:val="uk-UA"/>
                    </w:rPr>
                    <w:t xml:space="preserve"> Формування відомостей за результатом пошуку та, у разі відсутності доступу до відповідних інформаційних систем,</w:t>
                  </w:r>
                  <w:r w:rsidR="00A77841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A77841">
                    <w:rPr>
                      <w:color w:val="000000" w:themeColor="text1"/>
                      <w:lang w:val="uk-UA"/>
                    </w:rPr>
                    <w:t xml:space="preserve">запитування інформації від органів влади, підприємств,установ, організацій, які проводили реєстрацію прав). Перевірка документів на наявність підстав для зупинення розгляду заяви про взяття на облік безхазяйного НМ </w:t>
                  </w:r>
                </w:p>
              </w:tc>
            </w:tr>
          </w:tbl>
          <w:p w:rsidR="00514F0D" w:rsidRPr="00514F0D" w:rsidRDefault="00514F0D" w:rsidP="009E65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4F0D" w:rsidRPr="0062256F" w:rsidRDefault="00514F0D" w:rsidP="00C76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514F0D" w:rsidRPr="0062256F" w:rsidRDefault="00514F0D" w:rsidP="00C767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514F0D" w:rsidRPr="0062256F" w:rsidRDefault="00514F0D" w:rsidP="00C767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993E48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9E65B0" w:rsidRPr="00E0002D" w:rsidRDefault="00993E48" w:rsidP="00E0002D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00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Опрацювання заяви про</w:t>
            </w:r>
            <w:r w:rsidRPr="00E0002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="009E65B0" w:rsidRPr="00E00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державну реєстрацію прав та їх обтяжень, зокрема:</w:t>
            </w:r>
          </w:p>
          <w:p w:rsidR="00A77841" w:rsidRPr="006D77A3" w:rsidRDefault="00A77841" w:rsidP="006D77A3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106" w:hanging="106"/>
              <w:jc w:val="both"/>
              <w:rPr>
                <w:lang w:val="uk-UA"/>
              </w:rPr>
            </w:pPr>
            <w:r w:rsidRPr="006D77A3">
              <w:rPr>
                <w:color w:val="000000"/>
                <w:lang w:val="uk-UA"/>
              </w:rPr>
              <w:t xml:space="preserve">розгляд заяви про взяття на облік </w:t>
            </w:r>
            <w:r w:rsidR="006D77A3" w:rsidRPr="006D77A3">
              <w:rPr>
                <w:color w:val="000000"/>
                <w:lang w:val="uk-UA"/>
              </w:rPr>
              <w:t>б</w:t>
            </w:r>
            <w:r w:rsidRPr="006D77A3">
              <w:rPr>
                <w:color w:val="000000"/>
                <w:lang w:val="uk-UA"/>
              </w:rPr>
              <w:t>езхазяйного</w:t>
            </w:r>
            <w:r w:rsidR="006D77A3" w:rsidRPr="006D77A3">
              <w:rPr>
                <w:color w:val="000000"/>
                <w:lang w:val="uk-UA"/>
              </w:rPr>
              <w:t xml:space="preserve"> </w:t>
            </w:r>
            <w:r w:rsidRPr="006D77A3">
              <w:rPr>
                <w:color w:val="000000"/>
                <w:lang w:val="uk-UA"/>
              </w:rPr>
              <w:t>нерухомого майна та документів, необхідних для її проведення;</w:t>
            </w:r>
          </w:p>
          <w:p w:rsidR="00993E48" w:rsidRPr="00E0002D" w:rsidRDefault="00A77841" w:rsidP="006D77A3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106" w:hanging="142"/>
              <w:jc w:val="both"/>
              <w:rPr>
                <w:color w:val="000000" w:themeColor="text1"/>
                <w:lang w:val="uk-UA"/>
              </w:rPr>
            </w:pPr>
            <w:r w:rsidRPr="006D77A3">
              <w:rPr>
                <w:color w:val="000000"/>
                <w:lang w:val="uk-UA"/>
              </w:rPr>
              <w:t>прийняття рішення про взяття на облік безхазяйного нерухомого майна або про відмову у взятті на облік</w:t>
            </w:r>
            <w:r w:rsidR="006D77A3" w:rsidRPr="006D77A3">
              <w:rPr>
                <w:color w:val="000000"/>
                <w:lang w:val="uk-UA"/>
              </w:rPr>
              <w:t xml:space="preserve"> </w:t>
            </w:r>
            <w:r w:rsidRPr="006D77A3">
              <w:rPr>
                <w:color w:val="000000"/>
                <w:lang w:val="uk-UA"/>
              </w:rPr>
              <w:t>безхазяйного нерухомого майна.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E3265" w:rsidRPr="00794E87" w:rsidTr="00173BCA">
        <w:tc>
          <w:tcPr>
            <w:tcW w:w="567" w:type="dxa"/>
          </w:tcPr>
          <w:p w:rsidR="002E3265" w:rsidRPr="00993E48" w:rsidRDefault="002E326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820" w:type="dxa"/>
          </w:tcPr>
          <w:p w:rsidR="002E3265" w:rsidRPr="002E3265" w:rsidRDefault="002E3265" w:rsidP="002E3265">
            <w:pPr>
              <w:pStyle w:val="Default"/>
              <w:jc w:val="both"/>
              <w:rPr>
                <w:lang w:val="uk-UA"/>
              </w:rPr>
            </w:pPr>
            <w:r w:rsidRPr="002E3265">
              <w:rPr>
                <w:color w:val="000000" w:themeColor="text1"/>
                <w:lang w:val="uk-UA"/>
              </w:rPr>
              <w:t>У разі прийняття рішення про взяття на облік, реєстрація взяття на облік нерухомого майна, у спеціальному розділі ДРП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E3265" w:rsidRPr="0062256F" w:rsidRDefault="002E3265" w:rsidP="00C767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2E3265" w:rsidRPr="0062256F" w:rsidRDefault="002E3265" w:rsidP="00C767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2E3265" w:rsidRPr="0062256F" w:rsidRDefault="002E3265" w:rsidP="00C767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2E326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993E48" w:rsidRPr="002E3265" w:rsidRDefault="002E3265" w:rsidP="002E3265">
            <w:pPr>
              <w:pStyle w:val="a5"/>
              <w:spacing w:before="124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E3265">
              <w:rPr>
                <w:color w:val="000000" w:themeColor="text1"/>
                <w:lang w:val="uk-UA"/>
              </w:rPr>
              <w:t>Видача рішення про взяття на облік безхазяйного нерухомого майна або рішення про відмову у взятті на облік безхазяйного нерухомого майна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F710E3" w:rsidTr="00173BCA">
        <w:tc>
          <w:tcPr>
            <w:tcW w:w="567" w:type="dxa"/>
          </w:tcPr>
          <w:p w:rsidR="00F710E3" w:rsidRPr="00BB1537" w:rsidRDefault="002E326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F710E3" w:rsidRPr="002B2B8F" w:rsidRDefault="00F710E3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F710E3" w:rsidRPr="003A10E4" w:rsidTr="00173BCA">
        <w:tc>
          <w:tcPr>
            <w:tcW w:w="8647" w:type="dxa"/>
            <w:gridSpan w:val="4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F710E3" w:rsidRPr="003A10E4" w:rsidTr="00173BCA">
        <w:tc>
          <w:tcPr>
            <w:tcW w:w="8647" w:type="dxa"/>
            <w:gridSpan w:val="4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33E8"/>
    <w:multiLevelType w:val="hybridMultilevel"/>
    <w:tmpl w:val="D6F87DC8"/>
    <w:lvl w:ilvl="0" w:tplc="70E0B6D6"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">
    <w:nsid w:val="790A541D"/>
    <w:multiLevelType w:val="hybridMultilevel"/>
    <w:tmpl w:val="E4682A2E"/>
    <w:lvl w:ilvl="0" w:tplc="39D88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0D73AA"/>
    <w:rsid w:val="00147735"/>
    <w:rsid w:val="001552DB"/>
    <w:rsid w:val="00170A5E"/>
    <w:rsid w:val="00173BCA"/>
    <w:rsid w:val="002068BE"/>
    <w:rsid w:val="002158AB"/>
    <w:rsid w:val="00231D16"/>
    <w:rsid w:val="0027556A"/>
    <w:rsid w:val="002B2B8F"/>
    <w:rsid w:val="002E3265"/>
    <w:rsid w:val="00344205"/>
    <w:rsid w:val="00370510"/>
    <w:rsid w:val="00376E8C"/>
    <w:rsid w:val="003A10E4"/>
    <w:rsid w:val="003F2D93"/>
    <w:rsid w:val="003F4A08"/>
    <w:rsid w:val="00404352"/>
    <w:rsid w:val="004615C9"/>
    <w:rsid w:val="004C4D4E"/>
    <w:rsid w:val="00514F0D"/>
    <w:rsid w:val="00520D19"/>
    <w:rsid w:val="00564FD9"/>
    <w:rsid w:val="005B3FB9"/>
    <w:rsid w:val="0062256F"/>
    <w:rsid w:val="006821D9"/>
    <w:rsid w:val="00694E80"/>
    <w:rsid w:val="006C39C2"/>
    <w:rsid w:val="006D77A3"/>
    <w:rsid w:val="0071201D"/>
    <w:rsid w:val="00794E87"/>
    <w:rsid w:val="007A1DD8"/>
    <w:rsid w:val="00842890"/>
    <w:rsid w:val="00852D37"/>
    <w:rsid w:val="008A648D"/>
    <w:rsid w:val="008D2559"/>
    <w:rsid w:val="008D452E"/>
    <w:rsid w:val="008E1372"/>
    <w:rsid w:val="008F3BE9"/>
    <w:rsid w:val="00962311"/>
    <w:rsid w:val="00967413"/>
    <w:rsid w:val="00993E48"/>
    <w:rsid w:val="009A60A0"/>
    <w:rsid w:val="009E65B0"/>
    <w:rsid w:val="009E6F99"/>
    <w:rsid w:val="009F5F11"/>
    <w:rsid w:val="00A07CF6"/>
    <w:rsid w:val="00A77841"/>
    <w:rsid w:val="00A906C4"/>
    <w:rsid w:val="00A97D83"/>
    <w:rsid w:val="00AE0F5C"/>
    <w:rsid w:val="00B15BA9"/>
    <w:rsid w:val="00B4178A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DF1FA5"/>
    <w:rsid w:val="00E0002D"/>
    <w:rsid w:val="00E052EA"/>
    <w:rsid w:val="00E276B7"/>
    <w:rsid w:val="00E75AF7"/>
    <w:rsid w:val="00EA5292"/>
    <w:rsid w:val="00EA7A17"/>
    <w:rsid w:val="00ED0875"/>
    <w:rsid w:val="00F1474D"/>
    <w:rsid w:val="00F455E2"/>
    <w:rsid w:val="00F710E3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00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597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7F10-B2B4-45A0-B930-11A8A826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61</cp:revision>
  <dcterms:created xsi:type="dcterms:W3CDTF">2023-08-28T18:35:00Z</dcterms:created>
  <dcterms:modified xsi:type="dcterms:W3CDTF">2023-10-25T13:27:00Z</dcterms:modified>
</cp:coreProperties>
</file>